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BE" w:rsidRDefault="004056F1" w:rsidP="00D06ECA">
      <w:pPr>
        <w:pStyle w:val="Titre4"/>
        <w:shd w:val="clear" w:color="auto" w:fill="auto"/>
        <w:bidi/>
        <w:rPr>
          <w:sz w:val="24"/>
          <w:szCs w:val="24"/>
          <w:rtl/>
          <w:lang w:bidi="ar-DZ"/>
        </w:rPr>
      </w:pPr>
      <w:r>
        <w:rPr>
          <w:rFonts w:cs="Simplified Arabic"/>
          <w:sz w:val="32"/>
          <w:szCs w:val="32"/>
        </w:rPr>
        <w:t xml:space="preserve">                   </w:t>
      </w:r>
      <w:r>
        <w:rPr>
          <w:rFonts w:cs="Simplified Arabic"/>
          <w:sz w:val="32"/>
          <w:szCs w:val="32"/>
          <w:rtl/>
        </w:rPr>
        <w:t xml:space="preserve">شهادة أستاذ التعليم </w:t>
      </w:r>
      <w:r>
        <w:rPr>
          <w:rFonts w:cs="Simplified Arabic"/>
          <w:sz w:val="32"/>
          <w:szCs w:val="32"/>
          <w:rtl/>
          <w:lang w:bidi="ar-DZ"/>
        </w:rPr>
        <w:t>الثانوي</w:t>
      </w:r>
      <w:r>
        <w:rPr>
          <w:rFonts w:cs="Simplified Arabic"/>
          <w:sz w:val="32"/>
          <w:szCs w:val="32"/>
          <w:rtl/>
        </w:rPr>
        <w:t xml:space="preserve"> في  العلوم </w:t>
      </w:r>
      <w:r>
        <w:rPr>
          <w:rFonts w:cs="Simplified Arabic"/>
          <w:sz w:val="32"/>
          <w:szCs w:val="32"/>
          <w:rtl/>
          <w:lang w:bidi="ar-DZ"/>
        </w:rPr>
        <w:t>الطبيعية</w:t>
      </w:r>
      <w:r>
        <w:rPr>
          <w:rFonts w:cs="Simplified Arabic"/>
          <w:rtl/>
        </w:rPr>
        <w:tab/>
      </w:r>
      <w:r>
        <w:rPr>
          <w:rFonts w:cs="Simplified Arabic"/>
          <w:rtl/>
        </w:rPr>
        <w:tab/>
        <w:t xml:space="preserve">  </w:t>
      </w:r>
      <w:r>
        <w:rPr>
          <w:rFonts w:cs="Simplified Arabic Fixed"/>
          <w:rtl/>
        </w:rPr>
        <w:t xml:space="preserve"> </w:t>
      </w:r>
      <w:r>
        <w:rPr>
          <w:i/>
          <w:iCs/>
          <w:sz w:val="24"/>
          <w:szCs w:val="24"/>
          <w:bdr w:val="single" w:sz="4" w:space="0" w:color="auto" w:frame="1"/>
          <w:rtl/>
        </w:rPr>
        <w:t>الـبـرامـج</w:t>
      </w:r>
      <w:r>
        <w:rPr>
          <w:szCs w:val="36"/>
          <w:rtl/>
        </w:rPr>
        <w:t xml:space="preserve"> </w:t>
      </w:r>
      <w:r w:rsidR="009974BE">
        <w:rPr>
          <w:sz w:val="20"/>
          <w:szCs w:val="36"/>
          <w:rtl/>
        </w:rPr>
        <w:t xml:space="preserve">              </w:t>
      </w:r>
      <w:r w:rsidR="009974BE">
        <w:rPr>
          <w:sz w:val="20"/>
          <w:szCs w:val="36"/>
          <w:rtl/>
          <w:lang w:bidi="ar-DZ"/>
        </w:rPr>
        <w:t xml:space="preserve">        </w:t>
      </w:r>
      <w:r w:rsidR="009974BE">
        <w:rPr>
          <w:sz w:val="20"/>
          <w:rtl/>
        </w:rPr>
        <w:t xml:space="preserve">  </w:t>
      </w:r>
      <w:r w:rsidR="009974BE">
        <w:rPr>
          <w:sz w:val="20"/>
          <w:rtl/>
          <w:lang w:bidi="ar-DZ"/>
        </w:rPr>
        <w:t xml:space="preserve">              </w:t>
      </w:r>
      <w:r w:rsidR="009974BE">
        <w:rPr>
          <w:sz w:val="20"/>
          <w:rtl/>
        </w:rPr>
        <w:t xml:space="preserve">   </w:t>
      </w:r>
    </w:p>
    <w:tbl>
      <w:tblPr>
        <w:tblW w:w="9288" w:type="dxa"/>
        <w:tblInd w:w="-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152"/>
        <w:gridCol w:w="1872"/>
        <w:gridCol w:w="1728"/>
        <w:gridCol w:w="216"/>
        <w:gridCol w:w="936"/>
        <w:gridCol w:w="1152"/>
        <w:gridCol w:w="2232"/>
      </w:tblGrid>
      <w:tr w:rsidR="009974BE">
        <w:trPr>
          <w:trHeight w:val="557"/>
        </w:trPr>
        <w:tc>
          <w:tcPr>
            <w:tcW w:w="1152" w:type="dxa"/>
            <w:shd w:val="clear" w:color="auto" w:fill="F3F3F3"/>
          </w:tcPr>
          <w:p w:rsidR="009974BE" w:rsidRPr="00D36C37" w:rsidRDefault="009974BE" w:rsidP="00BC4B18">
            <w:pPr>
              <w:bidi/>
              <w:jc w:val="center"/>
              <w:rPr>
                <w:rFonts w:cs="Simplified Arabic Fixed"/>
                <w:b/>
                <w:bCs/>
                <w:lang w:val="fr-FR" w:bidi="ar-DZ"/>
              </w:rPr>
            </w:pPr>
            <w:proofErr w:type="gramStart"/>
            <w:r w:rsidRPr="00D36C37">
              <w:rPr>
                <w:rFonts w:cs="Simplified Arabic Fixed"/>
                <w:b/>
                <w:bCs/>
                <w:sz w:val="18"/>
                <w:szCs w:val="18"/>
                <w:rtl/>
              </w:rPr>
              <w:t>الصف</w:t>
            </w:r>
            <w:proofErr w:type="spellStart"/>
            <w:r w:rsidR="00D36C37">
              <w:rPr>
                <w:rFonts w:cs="Simplified Arabic Fixed"/>
                <w:b/>
                <w:bCs/>
                <w:sz w:val="18"/>
                <w:szCs w:val="18"/>
                <w:rtl/>
                <w:lang w:bidi="ar-DZ"/>
              </w:rPr>
              <w:t>حة</w:t>
            </w:r>
            <w:proofErr w:type="spellEnd"/>
            <w:proofErr w:type="gramEnd"/>
            <w:r w:rsidRPr="00D36C37">
              <w:rPr>
                <w:rFonts w:cs="Simplified Arabic Fixed"/>
                <w:b/>
                <w:bCs/>
                <w:rtl/>
              </w:rPr>
              <w:t>:</w:t>
            </w:r>
            <w:r w:rsidRPr="00D36C37">
              <w:rPr>
                <w:rFonts w:cs="Simplified Arabic Fixed"/>
                <w:b/>
                <w:bCs/>
                <w:rtl/>
                <w:lang w:bidi="ar-DZ"/>
              </w:rPr>
              <w:t xml:space="preserve"> </w:t>
            </w:r>
            <w:r w:rsidRPr="00D36C37">
              <w:rPr>
                <w:rFonts w:cs="Simplified Arabic Fixed"/>
                <w:b/>
                <w:bCs/>
                <w:sz w:val="18"/>
                <w:szCs w:val="18"/>
                <w:lang w:val="fr-FR" w:bidi="ar-DZ"/>
              </w:rPr>
              <w:t>1/1</w:t>
            </w:r>
          </w:p>
          <w:p w:rsidR="009974BE" w:rsidRPr="00D36C37" w:rsidRDefault="009974BE">
            <w:pPr>
              <w:jc w:val="center"/>
              <w:rPr>
                <w:rFonts w:cs="Simplified Arabic Fixed"/>
                <w:b/>
                <w:bCs/>
                <w:lang w:val="fr-FR"/>
              </w:rPr>
            </w:pPr>
          </w:p>
        </w:tc>
        <w:tc>
          <w:tcPr>
            <w:tcW w:w="8136" w:type="dxa"/>
            <w:gridSpan w:val="6"/>
            <w:shd w:val="clear" w:color="auto" w:fill="F3F3F3"/>
          </w:tcPr>
          <w:p w:rsidR="009974BE" w:rsidRPr="00D36C37" w:rsidRDefault="009974BE" w:rsidP="00396EBD">
            <w:pPr>
              <w:tabs>
                <w:tab w:val="center" w:pos="3825"/>
              </w:tabs>
              <w:bidi/>
              <w:rPr>
                <w:rFonts w:cs="Simplified Arabic Fixed"/>
                <w:b/>
                <w:bCs/>
                <w:i/>
                <w:iCs/>
                <w:sz w:val="24"/>
                <w:szCs w:val="24"/>
                <w:lang w:bidi="ar-DZ"/>
              </w:rPr>
            </w:pPr>
            <w:r w:rsidRPr="00D36C37">
              <w:rPr>
                <w:rFonts w:cs="Simplified Arabic"/>
                <w:b/>
                <w:bCs/>
                <w:i/>
                <w:iCs/>
                <w:sz w:val="24"/>
                <w:szCs w:val="24"/>
                <w:rtl/>
              </w:rPr>
              <w:t>الـعـنـوا</w:t>
            </w:r>
            <w:r w:rsidRPr="00D36C37">
              <w:rPr>
                <w:rFonts w:cs="Simplified Arabic Fixed"/>
                <w:b/>
                <w:bCs/>
                <w:i/>
                <w:iCs/>
                <w:sz w:val="24"/>
                <w:szCs w:val="24"/>
                <w:rtl/>
              </w:rPr>
              <w:t>ن</w:t>
            </w:r>
            <w:r w:rsidR="00396EBD">
              <w:rPr>
                <w:rFonts w:cs="Simplified Arabic Fixed"/>
                <w:b/>
                <w:bCs/>
                <w:i/>
                <w:iCs/>
                <w:sz w:val="24"/>
                <w:szCs w:val="24"/>
                <w:rtl/>
              </w:rPr>
              <w:t xml:space="preserve">: </w:t>
            </w:r>
            <w:proofErr w:type="spellStart"/>
            <w:r w:rsidR="00235E8B">
              <w:rPr>
                <w:rFonts w:cs="Simplified Arabic Fixed"/>
                <w:b/>
                <w:bCs/>
                <w:i/>
                <w:iCs/>
                <w:sz w:val="28"/>
                <w:szCs w:val="28"/>
                <w:rtl/>
                <w:lang w:bidi="ar-DZ"/>
              </w:rPr>
              <w:t>فيزيولوجيا</w:t>
            </w:r>
            <w:proofErr w:type="spellEnd"/>
            <w:r w:rsidR="00235E8B">
              <w:rPr>
                <w:rFonts w:cs="Simplified Arabic Fixed"/>
                <w:b/>
                <w:bCs/>
                <w:i/>
                <w:iCs/>
                <w:sz w:val="28"/>
                <w:szCs w:val="28"/>
                <w:rtl/>
                <w:lang w:bidi="ar-DZ"/>
              </w:rPr>
              <w:t xml:space="preserve"> النبات</w:t>
            </w:r>
            <w:r w:rsidR="00396EBD">
              <w:rPr>
                <w:rFonts w:cs="Simplified Arabic Fixed"/>
                <w:b/>
                <w:bCs/>
                <w:i/>
                <w:iCs/>
                <w:sz w:val="28"/>
                <w:szCs w:val="28"/>
                <w:rtl/>
                <w:lang w:bidi="ar-DZ"/>
              </w:rPr>
              <w:t xml:space="preserve"> البيئية</w:t>
            </w:r>
          </w:p>
        </w:tc>
      </w:tr>
      <w:tr w:rsidR="009974BE" w:rsidRPr="00D36C37">
        <w:trPr>
          <w:trHeight w:val="703"/>
        </w:trPr>
        <w:tc>
          <w:tcPr>
            <w:tcW w:w="3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4BE" w:rsidRPr="00D36C37" w:rsidRDefault="00CD55BD" w:rsidP="00CD55BD">
            <w:pPr>
              <w:pStyle w:val="Titre2"/>
              <w:bidi/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lang w:val="fr-FR"/>
              </w:rPr>
            </w:pPr>
            <w:r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  <w:lang w:bidi="ar-DZ"/>
              </w:rPr>
              <w:t xml:space="preserve"> </w:t>
            </w:r>
            <w:r w:rsidR="00D06ECA"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الحجم الزمني الإجمالي</w:t>
            </w:r>
            <w:r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: 45سا  </w:t>
            </w:r>
            <w:r w:rsidR="00D06ECA"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  <w:lang w:bidi="ar-DZ"/>
              </w:rPr>
              <w:t xml:space="preserve">  </w:t>
            </w:r>
            <w:r w:rsidR="009974BE"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  <w:lang w:bidi="ar-DZ"/>
              </w:rPr>
              <w:t xml:space="preserve">                            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4BE" w:rsidRPr="0056493F" w:rsidRDefault="009974BE" w:rsidP="0056493F">
            <w:pPr>
              <w:pStyle w:val="Titre2"/>
              <w:bidi/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gramStart"/>
            <w:r w:rsidRPr="0056493F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المعامل</w:t>
            </w:r>
            <w:proofErr w:type="gramEnd"/>
            <w:r w:rsidRPr="0056493F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>:</w:t>
            </w:r>
            <w:r w:rsidRPr="0056493F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4D6EDF" w:rsidRPr="0056493F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4BE" w:rsidRPr="00D36C37" w:rsidRDefault="009974BE">
            <w:pPr>
              <w:pStyle w:val="Titre2"/>
              <w:bidi/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lang w:bidi="ar-DZ"/>
              </w:rPr>
            </w:pPr>
            <w:proofErr w:type="gramStart"/>
            <w:r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المستوى</w:t>
            </w:r>
            <w:proofErr w:type="gramEnd"/>
            <w:r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: السنة </w:t>
            </w:r>
            <w:r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  <w:lang w:bidi="ar-DZ"/>
              </w:rPr>
              <w:t>الرابعة</w:t>
            </w:r>
            <w:r w:rsidR="009F3562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lang w:bidi="ar-DZ"/>
              </w:rPr>
              <w:t>(</w:t>
            </w:r>
            <w:proofErr w:type="spellStart"/>
            <w:r w:rsidR="009F3562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lang w:bidi="ar-DZ"/>
              </w:rPr>
              <w:t>Bac</w:t>
            </w:r>
            <w:proofErr w:type="spellEnd"/>
            <w:r w:rsidR="009F3562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lang w:bidi="ar-DZ"/>
              </w:rPr>
              <w:t xml:space="preserve">+ 5) </w:t>
            </w:r>
          </w:p>
        </w:tc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74BE" w:rsidRPr="00C5620F" w:rsidRDefault="009974BE">
            <w:pPr>
              <w:pStyle w:val="Titre2"/>
              <w:bidi/>
              <w:rPr>
                <w:rFonts w:cs="Simplified Arabic Fixed"/>
                <w:b w:val="0"/>
                <w:bCs w:val="0"/>
                <w:i w:val="0"/>
                <w:iCs w:val="0"/>
                <w:sz w:val="24"/>
                <w:szCs w:val="24"/>
                <w:lang w:val="fr-FR" w:bidi="ar-DZ"/>
              </w:rPr>
            </w:pPr>
            <w:proofErr w:type="gramStart"/>
            <w:r w:rsidRPr="00C5620F">
              <w:rPr>
                <w:rFonts w:cs="Simplified Arabic Fixed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الرمز</w:t>
            </w:r>
            <w:proofErr w:type="gramEnd"/>
            <w:r w:rsidRPr="00C5620F">
              <w:rPr>
                <w:rFonts w:cs="Simplified Arabic Fixed"/>
                <w:b w:val="0"/>
                <w:bCs w:val="0"/>
                <w:i w:val="0"/>
                <w:iCs w:val="0"/>
                <w:sz w:val="24"/>
                <w:szCs w:val="24"/>
                <w:rtl/>
              </w:rPr>
              <w:t>:</w:t>
            </w:r>
            <w:r w:rsidRPr="00C5620F">
              <w:rPr>
                <w:rFonts w:cs="Simplified Arabic Fixed"/>
                <w:b w:val="0"/>
                <w:bCs w:val="0"/>
                <w:i w:val="0"/>
                <w:iCs w:val="0"/>
                <w:sz w:val="24"/>
                <w:szCs w:val="24"/>
                <w:rtl/>
                <w:lang w:bidi="ar-DZ"/>
              </w:rPr>
              <w:t xml:space="preserve"> </w:t>
            </w:r>
            <w:r w:rsidR="00CD55BD">
              <w:rPr>
                <w:rFonts w:cs="Simplified Arabic Fixed"/>
                <w:b w:val="0"/>
                <w:i w:val="0"/>
                <w:iCs w:val="0"/>
                <w:sz w:val="24"/>
                <w:szCs w:val="24"/>
                <w:rtl/>
                <w:lang w:bidi="ar-DZ"/>
              </w:rPr>
              <w:t>ع 452</w:t>
            </w:r>
          </w:p>
        </w:tc>
      </w:tr>
      <w:tr w:rsidR="009974BE" w:rsidRPr="00D36C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3384" w:type="dxa"/>
        </w:trPr>
        <w:tc>
          <w:tcPr>
            <w:tcW w:w="1152" w:type="dxa"/>
          </w:tcPr>
          <w:p w:rsidR="009974BE" w:rsidRPr="00D36C37" w:rsidRDefault="009974BE">
            <w:pPr>
              <w:bidi/>
              <w:jc w:val="center"/>
              <w:rPr>
                <w:rFonts w:cs="Simplified Arabic"/>
                <w:sz w:val="22"/>
                <w:szCs w:val="22"/>
              </w:rPr>
            </w:pPr>
            <w:proofErr w:type="gramStart"/>
            <w:r w:rsidRPr="00D36C37">
              <w:rPr>
                <w:rFonts w:cs="Simplified Arabic"/>
                <w:sz w:val="22"/>
                <w:szCs w:val="22"/>
                <w:rtl/>
              </w:rPr>
              <w:t>المجموع</w:t>
            </w:r>
            <w:proofErr w:type="gramEnd"/>
          </w:p>
        </w:tc>
        <w:tc>
          <w:tcPr>
            <w:tcW w:w="1872" w:type="dxa"/>
          </w:tcPr>
          <w:p w:rsidR="009974BE" w:rsidRPr="00D36C37" w:rsidRDefault="009974BE">
            <w:pPr>
              <w:bidi/>
              <w:jc w:val="center"/>
              <w:rPr>
                <w:rFonts w:cs="Simplified Arabic"/>
                <w:sz w:val="22"/>
                <w:szCs w:val="22"/>
              </w:rPr>
            </w:pPr>
            <w:proofErr w:type="gramStart"/>
            <w:r w:rsidRPr="00D36C37">
              <w:rPr>
                <w:rFonts w:cs="Simplified Arabic"/>
                <w:sz w:val="22"/>
                <w:szCs w:val="22"/>
                <w:rtl/>
              </w:rPr>
              <w:t>الأعمال</w:t>
            </w:r>
            <w:proofErr w:type="gramEnd"/>
            <w:r w:rsidRPr="00D36C37">
              <w:rPr>
                <w:rFonts w:cs="Simplified Arabic"/>
                <w:sz w:val="22"/>
                <w:szCs w:val="22"/>
                <w:rtl/>
              </w:rPr>
              <w:t xml:space="preserve"> التطبيقية</w:t>
            </w:r>
          </w:p>
        </w:tc>
        <w:tc>
          <w:tcPr>
            <w:tcW w:w="1728" w:type="dxa"/>
          </w:tcPr>
          <w:p w:rsidR="009974BE" w:rsidRPr="00D36C37" w:rsidRDefault="009974BE">
            <w:pPr>
              <w:jc w:val="center"/>
              <w:rPr>
                <w:rFonts w:cs="Simplified Arabic"/>
                <w:sz w:val="22"/>
                <w:szCs w:val="22"/>
              </w:rPr>
            </w:pPr>
            <w:proofErr w:type="gramStart"/>
            <w:r w:rsidRPr="00D36C37">
              <w:rPr>
                <w:rFonts w:cs="Simplified Arabic"/>
                <w:sz w:val="22"/>
                <w:szCs w:val="22"/>
                <w:rtl/>
              </w:rPr>
              <w:t>الأعمال</w:t>
            </w:r>
            <w:proofErr w:type="gramEnd"/>
            <w:r w:rsidRPr="00D36C37">
              <w:rPr>
                <w:rFonts w:cs="Simplified Arabic"/>
                <w:sz w:val="22"/>
                <w:szCs w:val="22"/>
                <w:rtl/>
              </w:rPr>
              <w:t xml:space="preserve"> الموجهة</w:t>
            </w:r>
          </w:p>
        </w:tc>
        <w:tc>
          <w:tcPr>
            <w:tcW w:w="1152" w:type="dxa"/>
            <w:gridSpan w:val="2"/>
          </w:tcPr>
          <w:p w:rsidR="009974BE" w:rsidRPr="00D36C37" w:rsidRDefault="009974BE">
            <w:pPr>
              <w:jc w:val="center"/>
              <w:rPr>
                <w:rFonts w:cs="Simplified Arabic"/>
                <w:sz w:val="22"/>
                <w:szCs w:val="22"/>
              </w:rPr>
            </w:pPr>
            <w:proofErr w:type="gramStart"/>
            <w:r w:rsidRPr="00D36C37">
              <w:rPr>
                <w:rFonts w:cs="Simplified Arabic"/>
                <w:sz w:val="22"/>
                <w:szCs w:val="22"/>
                <w:rtl/>
              </w:rPr>
              <w:t>الـدروس</w:t>
            </w:r>
            <w:proofErr w:type="gramEnd"/>
          </w:p>
        </w:tc>
      </w:tr>
      <w:tr w:rsidR="009974BE" w:rsidRPr="00D36C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3"/>
        </w:trPr>
        <w:tc>
          <w:tcPr>
            <w:tcW w:w="1152" w:type="dxa"/>
          </w:tcPr>
          <w:p w:rsidR="009974BE" w:rsidRPr="00C5620F" w:rsidRDefault="00D36C37" w:rsidP="009F3562">
            <w:pPr>
              <w:bidi/>
              <w:spacing w:before="120" w:line="204" w:lineRule="auto"/>
              <w:rPr>
                <w:rFonts w:cs="Simplified Arabic"/>
                <w:sz w:val="22"/>
                <w:szCs w:val="22"/>
                <w:lang w:val="fr-FR" w:bidi="ar-DZ"/>
              </w:rPr>
            </w:pPr>
            <w:r>
              <w:rPr>
                <w:rFonts w:cs="Simplified Arabic"/>
                <w:sz w:val="22"/>
                <w:szCs w:val="22"/>
                <w:lang w:val="fr-FR"/>
              </w:rPr>
              <w:t xml:space="preserve">   </w:t>
            </w:r>
            <w:r w:rsidR="009F3562">
              <w:rPr>
                <w:rFonts w:cs="Simplified Arabic"/>
                <w:sz w:val="22"/>
                <w:szCs w:val="22"/>
                <w:rtl/>
              </w:rPr>
              <w:t xml:space="preserve"> </w:t>
            </w:r>
            <w:r w:rsidR="00CD55BD">
              <w:rPr>
                <w:rFonts w:cs="Simplified Arabic"/>
                <w:sz w:val="22"/>
                <w:szCs w:val="22"/>
                <w:rtl/>
              </w:rPr>
              <w:t>1.5</w:t>
            </w:r>
            <w:r w:rsidR="009F3562">
              <w:rPr>
                <w:rFonts w:cs="Simplified Arabic"/>
                <w:sz w:val="22"/>
                <w:szCs w:val="22"/>
                <w:rtl/>
              </w:rPr>
              <w:t xml:space="preserve"> </w:t>
            </w:r>
            <w:proofErr w:type="spellStart"/>
            <w:r w:rsidR="00CD55BD">
              <w:rPr>
                <w:rFonts w:cs="Simplified Arabic"/>
                <w:sz w:val="22"/>
                <w:szCs w:val="22"/>
                <w:rtl/>
              </w:rPr>
              <w:t>سا</w:t>
            </w:r>
            <w:proofErr w:type="spellEnd"/>
          </w:p>
        </w:tc>
        <w:tc>
          <w:tcPr>
            <w:tcW w:w="1872" w:type="dxa"/>
          </w:tcPr>
          <w:p w:rsidR="009974BE" w:rsidRPr="00D36C37" w:rsidRDefault="009974BE" w:rsidP="0056493F">
            <w:pPr>
              <w:spacing w:before="120"/>
              <w:rPr>
                <w:rFonts w:cs="Simplified Arabic"/>
                <w:sz w:val="22"/>
                <w:szCs w:val="22"/>
                <w:lang w:val="fr-FR"/>
              </w:rPr>
            </w:pPr>
          </w:p>
        </w:tc>
        <w:tc>
          <w:tcPr>
            <w:tcW w:w="1728" w:type="dxa"/>
          </w:tcPr>
          <w:p w:rsidR="009974BE" w:rsidRPr="00D36C37" w:rsidRDefault="009974BE" w:rsidP="0056493F">
            <w:pPr>
              <w:spacing w:before="120"/>
              <w:rPr>
                <w:rFonts w:cs="Simplified Arabic"/>
                <w:sz w:val="22"/>
                <w:szCs w:val="22"/>
                <w:lang w:val="fr-FR"/>
              </w:rPr>
            </w:pPr>
          </w:p>
        </w:tc>
        <w:tc>
          <w:tcPr>
            <w:tcW w:w="1152" w:type="dxa"/>
            <w:gridSpan w:val="2"/>
          </w:tcPr>
          <w:p w:rsidR="009974BE" w:rsidRPr="00D36C37" w:rsidRDefault="00D36C37" w:rsidP="0056493F">
            <w:pPr>
              <w:spacing w:before="120"/>
              <w:rPr>
                <w:rFonts w:cs="Simplified Arabic"/>
                <w:sz w:val="22"/>
                <w:szCs w:val="22"/>
                <w:lang w:val="fr-FR" w:bidi="ar-DZ"/>
              </w:rPr>
            </w:pPr>
            <w:r>
              <w:rPr>
                <w:rFonts w:cs="Simplified Arabic"/>
                <w:sz w:val="22"/>
                <w:szCs w:val="22"/>
                <w:lang w:val="fr-FR" w:bidi="ar-DZ"/>
              </w:rPr>
              <w:t xml:space="preserve">   </w:t>
            </w:r>
            <w:proofErr w:type="spellStart"/>
            <w:r w:rsidR="009F3562">
              <w:rPr>
                <w:rFonts w:cs="Simplified Arabic"/>
                <w:sz w:val="22"/>
                <w:szCs w:val="22"/>
                <w:rtl/>
                <w:lang w:val="fr-FR" w:bidi="ar-DZ"/>
              </w:rPr>
              <w:t>سا</w:t>
            </w:r>
            <w:proofErr w:type="spellEnd"/>
            <w:r>
              <w:rPr>
                <w:rFonts w:cs="Simplified Arabic"/>
                <w:sz w:val="22"/>
                <w:szCs w:val="22"/>
                <w:lang w:val="fr-FR" w:bidi="ar-DZ"/>
              </w:rPr>
              <w:t xml:space="preserve">  </w:t>
            </w:r>
            <w:r w:rsidR="00CD55BD">
              <w:rPr>
                <w:rFonts w:cs="Simplified Arabic"/>
                <w:sz w:val="22"/>
                <w:szCs w:val="22"/>
                <w:rtl/>
                <w:lang w:bidi="ar-DZ"/>
              </w:rPr>
              <w:t>1.5</w:t>
            </w:r>
          </w:p>
        </w:tc>
        <w:tc>
          <w:tcPr>
            <w:tcW w:w="3384" w:type="dxa"/>
            <w:gridSpan w:val="2"/>
          </w:tcPr>
          <w:p w:rsidR="009974BE" w:rsidRPr="00D36C37" w:rsidRDefault="009974BE" w:rsidP="00BC4B18">
            <w:pPr>
              <w:pStyle w:val="Titre5"/>
              <w:tabs>
                <w:tab w:val="right" w:pos="3822"/>
              </w:tabs>
              <w:spacing w:before="120" w:after="0"/>
              <w:jc w:val="right"/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lang w:val="fr-FR" w:bidi="ar-DZ"/>
              </w:rPr>
            </w:pPr>
            <w:r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الـحـجـم </w:t>
            </w:r>
            <w:proofErr w:type="gramStart"/>
            <w:r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>الـزمـني</w:t>
            </w:r>
            <w:proofErr w:type="gramEnd"/>
            <w:r w:rsidRPr="00D36C37">
              <w:rPr>
                <w:rFonts w:cs="Simplified Arabic"/>
                <w:b w:val="0"/>
                <w:bCs w:val="0"/>
                <w:i w:val="0"/>
                <w:iCs w:val="0"/>
                <w:sz w:val="22"/>
                <w:szCs w:val="22"/>
                <w:rtl/>
              </w:rPr>
              <w:t xml:space="preserve"> الأسـبـوعـي</w:t>
            </w:r>
          </w:p>
        </w:tc>
      </w:tr>
    </w:tbl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tbl>
      <w:tblPr>
        <w:tblStyle w:val="Grilledutableau"/>
        <w:tblpPr w:leftFromText="141" w:rightFromText="141" w:vertAnchor="text" w:horzAnchor="margin" w:tblpY="195"/>
        <w:bidiVisual/>
        <w:tblW w:w="0" w:type="auto"/>
        <w:tblInd w:w="0" w:type="dxa"/>
        <w:tblLook w:val="01E0"/>
      </w:tblPr>
      <w:tblGrid>
        <w:gridCol w:w="9169"/>
      </w:tblGrid>
      <w:tr w:rsidR="0056493F">
        <w:tc>
          <w:tcPr>
            <w:tcW w:w="9169" w:type="dxa"/>
          </w:tcPr>
          <w:p w:rsidR="003F2A74" w:rsidRPr="004C0E2F" w:rsidRDefault="009629EE" w:rsidP="003F2A74">
            <w:pPr>
              <w:bidi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  <w:lang w:val="fr-FR" w:bidi="ar-DZ"/>
              </w:rPr>
              <w:t>الفصل</w:t>
            </w:r>
            <w:r w:rsidRPr="009629EE">
              <w:rPr>
                <w:rFonts w:cs="Times New Roman"/>
                <w:b/>
                <w:bCs/>
                <w:sz w:val="22"/>
                <w:szCs w:val="22"/>
                <w:lang w:val="fr-FR" w:bidi="ar-DZ"/>
              </w:rPr>
              <w:t>I</w:t>
            </w:r>
            <w:r w:rsidR="004C0E2F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- </w:t>
            </w:r>
            <w:proofErr w:type="spellStart"/>
            <w:r w:rsidR="004C0E2F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>الإحهاد</w:t>
            </w:r>
            <w:r>
              <w:rPr>
                <w:rFonts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>ات</w:t>
            </w:r>
            <w:proofErr w:type="spellEnd"/>
            <w:r w:rsidR="004C0E2F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 </w:t>
            </w:r>
            <w:proofErr w:type="spellStart"/>
            <w:r w:rsidR="004C0E2F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>اللاحيوي</w:t>
            </w:r>
            <w:r>
              <w:rPr>
                <w:rFonts w:cs="Simplified Arabic"/>
                <w:b/>
                <w:bCs/>
                <w:sz w:val="24"/>
                <w:szCs w:val="24"/>
                <w:highlight w:val="yellow"/>
                <w:rtl/>
                <w:lang w:bidi="ar-DZ"/>
              </w:rPr>
              <w:t>ة</w:t>
            </w:r>
            <w:proofErr w:type="spellEnd"/>
            <w:r w:rsidR="000830A9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lang w:bidi="ar-DZ"/>
              </w:rPr>
              <w:t>stress</w:t>
            </w:r>
            <w:r>
              <w:rPr>
                <w:rFonts w:cs="Simplified Arabic"/>
                <w:b/>
                <w:bCs/>
                <w:sz w:val="24"/>
                <w:szCs w:val="24"/>
                <w:highlight w:val="yellow"/>
                <w:lang w:val="fr-FR" w:bidi="ar-DZ"/>
              </w:rPr>
              <w:t>es</w:t>
            </w:r>
            <w:r w:rsidR="000830A9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lang w:bidi="ar-DZ"/>
              </w:rPr>
              <w:t xml:space="preserve"> </w:t>
            </w:r>
            <w:proofErr w:type="spellStart"/>
            <w:r w:rsidR="000830A9" w:rsidRPr="000830A9">
              <w:rPr>
                <w:rFonts w:cs="Simplified Arabic"/>
                <w:b/>
                <w:bCs/>
                <w:sz w:val="24"/>
                <w:szCs w:val="24"/>
                <w:highlight w:val="yellow"/>
                <w:lang w:bidi="ar-DZ"/>
              </w:rPr>
              <w:t>abiotique</w:t>
            </w:r>
            <w:r>
              <w:rPr>
                <w:rFonts w:cs="Simplified Arabic"/>
                <w:b/>
                <w:bCs/>
                <w:sz w:val="24"/>
                <w:szCs w:val="24"/>
                <w:lang w:bidi="ar-DZ"/>
              </w:rPr>
              <w:t>s</w:t>
            </w:r>
            <w:proofErr w:type="spellEnd"/>
            <w:r w:rsidR="000830A9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</w:p>
          <w:p w:rsidR="0056493F" w:rsidRPr="005F281C" w:rsidRDefault="003F2A74" w:rsidP="003F2A74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</w:pPr>
            <w:r>
              <w:rPr>
                <w:rFonts w:cs="Simplified Arabic"/>
                <w:sz w:val="22"/>
                <w:szCs w:val="22"/>
                <w:rtl/>
                <w:lang w:bidi="ar-DZ"/>
              </w:rPr>
              <w:t>1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- </w:t>
            </w:r>
            <w:r w:rsidR="0056493F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نقص الماء ومق</w:t>
            </w:r>
            <w:r w:rsidR="00F22DD5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ا</w:t>
            </w:r>
            <w:r w:rsidR="0056493F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وم</w:t>
            </w:r>
            <w:r w:rsidR="00F22DD5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ة</w:t>
            </w:r>
            <w:r w:rsidR="0056493F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 xml:space="preserve"> الجفاف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Deficit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 xml:space="preserve"> hydrique</w:t>
            </w:r>
          </w:p>
          <w:p w:rsidR="00C9589D" w:rsidRPr="00C9589D" w:rsidRDefault="00C9589D" w:rsidP="00C9589D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C9589D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علاقة المناخ، الموقع الجغرافي بالغطاء النباتي و الجفاف </w:t>
            </w:r>
          </w:p>
          <w:p w:rsidR="0056493F" w:rsidRPr="00C9589D" w:rsidRDefault="0056493F" w:rsidP="00464A8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C9589D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   استراتيجيات مقاومة الجفاف</w:t>
            </w:r>
            <w:r w:rsidR="00C9589D">
              <w:rPr>
                <w:rFonts w:cs="Simplified Arabic"/>
                <w:b/>
                <w:bCs/>
                <w:sz w:val="22"/>
                <w:szCs w:val="22"/>
                <w:rtl/>
              </w:rPr>
              <w:t xml:space="preserve"> عند النبات</w:t>
            </w:r>
            <w:r w:rsidR="005F281C">
              <w:rPr>
                <w:rFonts w:cs="Simplified Arabic"/>
                <w:b/>
                <w:bCs/>
                <w:sz w:val="22"/>
                <w:szCs w:val="22"/>
              </w:rPr>
              <w:t xml:space="preserve"> Strategies de la resistance à la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</w:rPr>
              <w:t>secheresse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</w:p>
          <w:p w:rsidR="0056493F" w:rsidRPr="005F281C" w:rsidRDefault="00FB4F89" w:rsidP="00464A8C">
            <w:pPr>
              <w:bidi/>
              <w:jc w:val="both"/>
              <w:rPr>
                <w:rFonts w:cs="Simplified Arabic"/>
                <w:sz w:val="22"/>
                <w:szCs w:val="22"/>
                <w:lang w:val="fr-FR"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C9589D"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أ</w:t>
            </w:r>
            <w:r w:rsidR="00C9589D"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تحاشي الجفاف</w:t>
            </w:r>
            <w:r w:rsidR="005F281C">
              <w:rPr>
                <w:rFonts w:cs="Simplified Arabic"/>
                <w:sz w:val="22"/>
                <w:szCs w:val="22"/>
                <w:lang w:bidi="ar-DZ"/>
              </w:rPr>
              <w:t xml:space="preserve">  </w:t>
            </w:r>
            <w:r w:rsidR="005F281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val="fr-FR" w:bidi="ar-DZ"/>
              </w:rPr>
              <w:t xml:space="preserve">Evitement à la </w:t>
            </w:r>
            <w:proofErr w:type="spellStart"/>
            <w:r w:rsidR="005F281C">
              <w:rPr>
                <w:rFonts w:cs="Simplified Arabic"/>
                <w:sz w:val="22"/>
                <w:szCs w:val="22"/>
                <w:lang w:val="fr-FR" w:bidi="ar-DZ"/>
              </w:rPr>
              <w:t>secheresse</w:t>
            </w:r>
            <w:proofErr w:type="spellEnd"/>
          </w:p>
          <w:p w:rsidR="0056493F" w:rsidRPr="0056493F" w:rsidRDefault="00C9589D" w:rsidP="007C0BF7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ب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- </w:t>
            </w:r>
            <w:r w:rsidR="0056493F"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تحمل الجفاف عند جهد مائي عالي</w:t>
            </w:r>
            <w:r w:rsid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ـ </w:t>
            </w:r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7C0BF7" w:rsidRP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التكيفات</w:t>
            </w:r>
            <w:proofErr w:type="spellEnd"/>
            <w:r w:rsidR="007C0BF7" w:rsidRP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7C0BF7" w:rsidRP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المرفولوجية</w:t>
            </w:r>
            <w:proofErr w:type="spellEnd"/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bidi="ar-DZ"/>
              </w:rPr>
              <w:t xml:space="preserve">Tolerance avec un potential </w:t>
            </w:r>
            <w:proofErr w:type="spellStart"/>
            <w:r w:rsidR="005F281C">
              <w:rPr>
                <w:rFonts w:cs="Simplified Arabic"/>
                <w:sz w:val="22"/>
                <w:szCs w:val="22"/>
                <w:lang w:bidi="ar-DZ"/>
              </w:rPr>
              <w:t>hydrique</w:t>
            </w:r>
            <w:proofErr w:type="spellEnd"/>
            <w:r w:rsidR="005F281C">
              <w:rPr>
                <w:rFonts w:cs="Simplified Arabic"/>
                <w:sz w:val="22"/>
                <w:szCs w:val="22"/>
                <w:lang w:bidi="ar-DZ"/>
              </w:rPr>
              <w:t xml:space="preserve"> </w:t>
            </w:r>
            <w:proofErr w:type="spellStart"/>
            <w:r w:rsidR="005F281C">
              <w:rPr>
                <w:rFonts w:cs="Simplified Arabic"/>
                <w:sz w:val="22"/>
                <w:szCs w:val="22"/>
                <w:lang w:bidi="ar-DZ"/>
              </w:rPr>
              <w:t>elevé</w:t>
            </w:r>
            <w:proofErr w:type="spellEnd"/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 - ال</w:t>
            </w:r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>ت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قليل من فقد الماء</w:t>
            </w:r>
            <w:r w:rsidR="007C0BF7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>و</w:t>
            </w:r>
            <w:r w:rsidR="007C0BF7" w:rsidRPr="0056493F">
              <w:rPr>
                <w:rFonts w:cs="Simplified Arabic"/>
                <w:sz w:val="22"/>
                <w:szCs w:val="22"/>
                <w:rtl/>
                <w:lang w:bidi="ar-DZ"/>
              </w:rPr>
              <w:t>الاحتفاظ</w:t>
            </w:r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>به</w:t>
            </w:r>
            <w:proofErr w:type="spellEnd"/>
          </w:p>
          <w:p w:rsidR="0056493F" w:rsidRPr="0056493F" w:rsidRDefault="0056493F" w:rsidP="007C0BF7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 - </w:t>
            </w:r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زيادة وتحسين </w:t>
            </w:r>
            <w:proofErr w:type="gramStart"/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>امتصاص</w:t>
            </w:r>
            <w:proofErr w:type="gramEnd"/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الماء</w:t>
            </w:r>
          </w:p>
          <w:p w:rsidR="0056493F" w:rsidRPr="005F281C" w:rsidRDefault="00C16F46" w:rsidP="005F281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ج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- </w:t>
            </w:r>
            <w:r w:rsidR="0056493F"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تحمل الجفاف عند جهد مائي منخفض</w:t>
            </w:r>
            <w:r w:rsid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ـ </w:t>
            </w:r>
            <w:proofErr w:type="spellStart"/>
            <w:r w:rsid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التكيفات</w:t>
            </w:r>
            <w:proofErr w:type="spellEnd"/>
            <w:r w:rsid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7C0BF7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الفيزيولوجية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bidi="ar-DZ"/>
              </w:rPr>
              <w:t xml:space="preserve"> </w:t>
            </w:r>
            <w:r w:rsidR="005F281C" w:rsidRPr="005F281C">
              <w:rPr>
                <w:rFonts w:cs="Simplified Arabic"/>
                <w:sz w:val="22"/>
                <w:szCs w:val="22"/>
                <w:lang w:bidi="ar-DZ"/>
              </w:rPr>
              <w:t xml:space="preserve">Tolerance avec un potential </w:t>
            </w:r>
            <w:proofErr w:type="spellStart"/>
            <w:r w:rsidR="005F281C" w:rsidRPr="005F281C">
              <w:rPr>
                <w:rFonts w:cs="Simplified Arabic"/>
                <w:sz w:val="22"/>
                <w:szCs w:val="22"/>
                <w:lang w:bidi="ar-DZ"/>
              </w:rPr>
              <w:t>hydrique</w:t>
            </w:r>
            <w:proofErr w:type="spellEnd"/>
            <w:r w:rsidR="005F281C" w:rsidRPr="005F281C">
              <w:rPr>
                <w:rFonts w:cs="Simplified Arabic"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bidi="ar-DZ"/>
              </w:rPr>
              <w:t>bas</w:t>
            </w:r>
          </w:p>
          <w:p w:rsidR="0056493F" w:rsidRPr="005F281C" w:rsidRDefault="0056493F" w:rsidP="007C0BF7">
            <w:pPr>
              <w:bidi/>
              <w:jc w:val="both"/>
              <w:rPr>
                <w:rFonts w:cs="Simplified Arabic"/>
                <w:sz w:val="22"/>
                <w:szCs w:val="22"/>
                <w:lang w:val="fr-FR"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 </w:t>
            </w:r>
            <w:r w:rsidR="007C0BF7"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التعديل </w:t>
            </w:r>
            <w:proofErr w:type="spellStart"/>
            <w:r w:rsidR="007C0BF7">
              <w:rPr>
                <w:rFonts w:cs="Simplified Arabic"/>
                <w:sz w:val="22"/>
                <w:szCs w:val="22"/>
                <w:rtl/>
                <w:lang w:bidi="ar-DZ"/>
              </w:rPr>
              <w:t>الأسموزي</w:t>
            </w:r>
            <w:proofErr w:type="spellEnd"/>
            <w:r w:rsidR="005F281C">
              <w:rPr>
                <w:rFonts w:cs="Simplified Arabic"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val="fr-FR" w:bidi="ar-DZ"/>
              </w:rPr>
              <w:t>Ajustement osmotique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lang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2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- </w:t>
            </w:r>
            <w:proofErr w:type="gramStart"/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الملوحة</w:t>
            </w:r>
            <w:proofErr w:type="spellStart"/>
            <w:proofErr w:type="gramEnd"/>
            <w:r w:rsidR="000830A9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lang w:bidi="ar-DZ"/>
              </w:rPr>
              <w:t>salinité</w:t>
            </w:r>
            <w:proofErr w:type="spellEnd"/>
            <w:r w:rsidR="000830A9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 xml:space="preserve"> 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تأثير تراكم الملح على نمو النبات وبنية التربة</w:t>
            </w:r>
          </w:p>
          <w:p w:rsid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الإستراتيجيات المستعملة من طرف النبات للتأقلم مع الملوحة وتحاشي أضرار الملح</w:t>
            </w:r>
          </w:p>
          <w:p w:rsidR="007C0BF7" w:rsidRPr="0056493F" w:rsidRDefault="002329BC" w:rsidP="007C0BF7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بروتينات تحمل الملوحة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- </w:t>
            </w:r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 xml:space="preserve">الإجهاد </w:t>
            </w:r>
            <w:proofErr w:type="gramStart"/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الحراري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Stress</w:t>
            </w:r>
            <w:proofErr w:type="gramEnd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 xml:space="preserve">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termique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أ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 xml:space="preserve">البرودة </w:t>
            </w:r>
            <w:proofErr w:type="gramStart"/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والصقيع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Froid</w:t>
            </w:r>
            <w:proofErr w:type="gramEnd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 xml:space="preserve"> et gelée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     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تضرر الخلايا بسبب تغير خواص الغشاء وتمدد الماء المتجمد</w:t>
            </w:r>
          </w:p>
          <w:p w:rsidR="0056493F" w:rsidRPr="0056493F" w:rsidRDefault="0056493F" w:rsidP="00C41787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  </w:t>
            </w:r>
            <w:proofErr w:type="spellStart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الت</w:t>
            </w:r>
            <w:r w:rsidR="002329BC">
              <w:rPr>
                <w:rFonts w:cs="Simplified Arabic"/>
                <w:sz w:val="22"/>
                <w:szCs w:val="22"/>
                <w:rtl/>
                <w:lang w:bidi="ar-DZ"/>
              </w:rPr>
              <w:t>كيفات</w:t>
            </w:r>
            <w:proofErr w:type="spellEnd"/>
            <w:r w:rsidR="002329B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2329BC">
              <w:rPr>
                <w:rFonts w:cs="Simplified Arabic"/>
                <w:sz w:val="22"/>
                <w:szCs w:val="22"/>
                <w:rtl/>
                <w:lang w:bidi="ar-DZ"/>
              </w:rPr>
              <w:t>المرفولوجية</w:t>
            </w:r>
            <w:proofErr w:type="spellEnd"/>
            <w:r w:rsidR="002329B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، التشريحية و </w:t>
            </w:r>
            <w:proofErr w:type="spellStart"/>
            <w:r w:rsidR="002329BC">
              <w:rPr>
                <w:rFonts w:cs="Simplified Arabic"/>
                <w:sz w:val="22"/>
                <w:szCs w:val="22"/>
                <w:rtl/>
                <w:lang w:bidi="ar-DZ"/>
              </w:rPr>
              <w:t>البيوفيزيائية</w:t>
            </w:r>
            <w:proofErr w:type="spellEnd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C41787">
              <w:rPr>
                <w:rFonts w:cs="Simplified Arabic"/>
                <w:sz w:val="22"/>
                <w:szCs w:val="22"/>
                <w:rtl/>
                <w:lang w:bidi="ar-DZ"/>
              </w:rPr>
              <w:t>المتعلقة ب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انخفاض درجة الحرارة</w:t>
            </w:r>
          </w:p>
          <w:p w:rsidR="0056493F" w:rsidRPr="005F281C" w:rsidRDefault="0056493F" w:rsidP="00464A8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ب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 xml:space="preserve">الحرارة </w:t>
            </w:r>
            <w:proofErr w:type="gramStart"/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العالية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Haute</w:t>
            </w:r>
            <w:proofErr w:type="gramEnd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 xml:space="preserve">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temperature</w:t>
            </w:r>
            <w:proofErr w:type="spellEnd"/>
          </w:p>
          <w:p w:rsidR="0056493F" w:rsidRPr="0056493F" w:rsidRDefault="009629EE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 </w:t>
            </w:r>
            <w:r w:rsidR="0056493F"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 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تأثير الأغشية الخلوية والبروتينات وعملية التركيب الضوئي</w:t>
            </w:r>
          </w:p>
          <w:p w:rsidR="0056493F" w:rsidRDefault="009629EE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التأقلم مع الحرارة العالية</w:t>
            </w:r>
          </w:p>
          <w:p w:rsidR="002329BC" w:rsidRPr="0056493F" w:rsidRDefault="009629EE" w:rsidP="002329B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</w:t>
            </w:r>
            <w:r w:rsidR="002329B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بروتينات الصدمة الحرارية</w:t>
            </w:r>
          </w:p>
          <w:p w:rsidR="0056493F" w:rsidRPr="005F281C" w:rsidRDefault="0056493F" w:rsidP="00464A8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4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 w:rsidR="001415E2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1415E2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اجهاد</w:t>
            </w:r>
            <w:proofErr w:type="spellEnd"/>
            <w:r w:rsidRPr="000830A9">
              <w:rPr>
                <w:rFonts w:cs="Simplified Arabic"/>
                <w:sz w:val="22"/>
                <w:szCs w:val="22"/>
                <w:highlight w:val="yellow"/>
                <w:rtl/>
                <w:lang w:bidi="ar-DZ"/>
              </w:rPr>
              <w:t xml:space="preserve"> </w:t>
            </w:r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تلوث الهواء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 xml:space="preserve">Stress de la pollution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  <w:t>atmospherique</w:t>
            </w:r>
            <w:proofErr w:type="spellEnd"/>
          </w:p>
          <w:p w:rsidR="0056493F" w:rsidRPr="0056493F" w:rsidRDefault="0056493F" w:rsidP="001415E2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   </w:t>
            </w:r>
            <w:r w:rsidR="001415E2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التأثيرات </w:t>
            </w:r>
            <w:proofErr w:type="spellStart"/>
            <w:r w:rsidR="001415E2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الفيزيولوجية</w:t>
            </w:r>
            <w:proofErr w:type="spellEnd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1415E2">
              <w:rPr>
                <w:rFonts w:cs="Simplified Arabic"/>
                <w:sz w:val="22"/>
                <w:szCs w:val="22"/>
                <w:rtl/>
                <w:lang w:bidi="ar-DZ"/>
              </w:rPr>
              <w:t>ل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تلوث الهواء على حركة الثغور والتركيب الضوئي والنمو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</w:t>
            </w:r>
            <w:proofErr w:type="gramStart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تأثير</w:t>
            </w:r>
            <w:r w:rsidR="001415E2">
              <w:rPr>
                <w:rFonts w:cs="Simplified Arabic"/>
                <w:sz w:val="22"/>
                <w:szCs w:val="22"/>
                <w:rtl/>
                <w:lang w:bidi="ar-DZ"/>
              </w:rPr>
              <w:t>ات</w:t>
            </w:r>
            <w:proofErr w:type="gramEnd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الأمطار الحمضية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</w:pPr>
            <w:r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5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- </w:t>
            </w:r>
            <w:r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نقص الأكسجين</w:t>
            </w:r>
            <w:r w:rsidR="000830A9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</w:rPr>
              <w:t xml:space="preserve"> في التربة</w:t>
            </w:r>
            <w:r w:rsidR="005F281C">
              <w:rPr>
                <w:rFonts w:cs="Simplified Arabic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</w:rPr>
              <w:t>Anoxie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</w:rPr>
              <w:t>l’hypoxie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</w:rPr>
              <w:t xml:space="preserve"> au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</w:rPr>
              <w:t>niveau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F281C">
              <w:rPr>
                <w:rFonts w:cs="Simplified Arabic"/>
                <w:b/>
                <w:bCs/>
                <w:sz w:val="22"/>
                <w:szCs w:val="22"/>
              </w:rPr>
              <w:t>racinaire</w:t>
            </w:r>
            <w:proofErr w:type="spellEnd"/>
            <w:r w:rsidR="005F281C">
              <w:rPr>
                <w:rFonts w:cs="Simplified Arabic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5F281C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56493F" w:rsidRP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   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تضرر الجذور والمجموع الخضري بسبب انعدام الأكسجين في ماء التربة</w:t>
            </w:r>
          </w:p>
          <w:p w:rsidR="0056493F" w:rsidRDefault="0056493F" w:rsidP="00464A8C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التأقلم مع نقص الأكسجين</w:t>
            </w:r>
          </w:p>
          <w:p w:rsidR="008B2100" w:rsidRDefault="008B2100" w:rsidP="0059114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8B2100"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r w:rsidR="003F2A74" w:rsidRPr="00FB4F89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>6</w:t>
            </w:r>
            <w:r w:rsidR="00EA5B3D" w:rsidRPr="00EA5B3D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 w:rsidR="003F2A74" w:rsidRPr="00591141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ـ</w:t>
            </w:r>
            <w:r w:rsidR="00EA5B3D" w:rsidRPr="00591141">
              <w:rPr>
                <w:rFonts w:ascii="Simplified Arabic" w:hAnsi="Simplified Arabic" w:cs="Simplified Arabic"/>
                <w:b/>
                <w:bCs/>
                <w:sz w:val="22"/>
                <w:szCs w:val="22"/>
                <w:highlight w:val="yellow"/>
                <w:rtl/>
              </w:rPr>
              <w:t>إجهاد تسمم التربة بالألمنيوم والمعادن الثقيلة</w:t>
            </w:r>
            <w:r w:rsidR="00591141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 xml:space="preserve"> </w:t>
            </w:r>
            <w:r w:rsidR="00591141" w:rsidRPr="005911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Intoxication des sols par les </w:t>
            </w:r>
            <w:proofErr w:type="spellStart"/>
            <w:r w:rsidR="00591141" w:rsidRPr="005911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metaux</w:t>
            </w:r>
            <w:proofErr w:type="spellEnd"/>
            <w:r w:rsidR="00591141" w:rsidRPr="005911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1141" w:rsidRPr="005911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lourd</w:t>
            </w:r>
            <w:proofErr w:type="spellEnd"/>
            <w:r w:rsidR="00591141"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  <w:t xml:space="preserve"> </w:t>
            </w:r>
          </w:p>
          <w:p w:rsidR="00591141" w:rsidRDefault="00591141" w:rsidP="00591141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</w:p>
          <w:p w:rsidR="00FB6F27" w:rsidRDefault="00FB6F27" w:rsidP="00FB6F27">
            <w:pPr>
              <w:autoSpaceDE w:val="0"/>
              <w:autoSpaceDN w:val="0"/>
              <w:bidi/>
              <w:adjustRightInd w:val="0"/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</w:pPr>
            <w:r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  <w:t xml:space="preserve">    </w:t>
            </w:r>
            <w:proofErr w:type="gramStart"/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  <w:lang w:val="fr-FR" w:bidi="ar-DZ"/>
              </w:rPr>
              <w:t>حموضة</w:t>
            </w:r>
            <w:proofErr w:type="gramEnd"/>
            <w:r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  <w:t xml:space="preserve"> </w:t>
            </w: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  <w:lang w:val="fr-FR" w:bidi="ar-DZ"/>
              </w:rPr>
              <w:t>التربة</w:t>
            </w:r>
          </w:p>
          <w:p w:rsidR="00FB6F27" w:rsidRDefault="00FB6F27" w:rsidP="00FB6F27">
            <w:pPr>
              <w:autoSpaceDE w:val="0"/>
              <w:autoSpaceDN w:val="0"/>
              <w:bidi/>
              <w:adjustRightInd w:val="0"/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</w:pPr>
            <w:r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  <w:t xml:space="preserve">    </w:t>
            </w: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  <w:lang w:val="fr-FR" w:bidi="ar-DZ"/>
              </w:rPr>
              <w:t>التسمم</w:t>
            </w:r>
            <w:r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  <w:t xml:space="preserve"> </w:t>
            </w: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  <w:lang w:val="fr-FR" w:bidi="ar-DZ"/>
              </w:rPr>
              <w:t>بالمعادن</w:t>
            </w:r>
            <w:r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  <w:t xml:space="preserve"> </w:t>
            </w: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  <w:lang w:val="fr-FR" w:bidi="ar-DZ"/>
              </w:rPr>
              <w:t>الثقيلة</w:t>
            </w:r>
            <w:r>
              <w:rPr>
                <w:rFonts w:ascii="MyriadMM-It_400_600_" w:hAnsi="MyriadMM-It_400_600_" w:cs="Simplified Arabic"/>
                <w:sz w:val="22"/>
                <w:szCs w:val="22"/>
                <w:rtl/>
                <w:lang w:val="fr-FR" w:bidi="ar-DZ"/>
              </w:rPr>
              <w:t xml:space="preserve"> </w:t>
            </w: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  <w:lang w:val="fr-FR" w:bidi="ar-DZ"/>
              </w:rPr>
              <w:t>والألمنيوم</w:t>
            </w:r>
          </w:p>
          <w:p w:rsidR="00FB6F27" w:rsidRPr="00FB6F27" w:rsidRDefault="00FB6F27" w:rsidP="00FB6F27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sz w:val="22"/>
                <w:szCs w:val="22"/>
                <w:lang w:val="fr-FR" w:bidi="ar-DZ"/>
              </w:rPr>
            </w:pPr>
            <w:r w:rsidRPr="00FB6F27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   آليات المقاومة العامة للمعادن الثقيلة</w:t>
            </w:r>
          </w:p>
          <w:p w:rsidR="004C0E2F" w:rsidRDefault="009629EE" w:rsidP="004C0E2F">
            <w:pPr>
              <w:autoSpaceDE w:val="0"/>
              <w:autoSpaceDN w:val="0"/>
              <w:bidi/>
              <w:adjustRightInd w:val="0"/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Times New Roman"/>
                <w:b/>
                <w:bCs/>
                <w:sz w:val="22"/>
                <w:szCs w:val="22"/>
                <w:rtl/>
                <w:lang w:val="fr-FR"/>
              </w:rPr>
              <w:t>الفصل</w:t>
            </w:r>
            <w:r w:rsidRPr="009629EE">
              <w:rPr>
                <w:rFonts w:cs="Times New Roman"/>
                <w:b/>
                <w:bCs/>
                <w:sz w:val="22"/>
                <w:szCs w:val="22"/>
                <w:lang w:val="fr-FR"/>
              </w:rPr>
              <w:t>II</w:t>
            </w:r>
            <w:r w:rsidR="004C0E2F" w:rsidRPr="004C0E2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- </w:t>
            </w:r>
            <w:r w:rsidR="004C0E2F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 xml:space="preserve">الإجهاد </w:t>
            </w:r>
            <w:r w:rsidR="000830A9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rtl/>
                <w:lang w:bidi="ar-DZ"/>
              </w:rPr>
              <w:t>الحيوي</w:t>
            </w:r>
            <w:r w:rsidR="00112057">
              <w:rPr>
                <w:rFonts w:cs="Simplified Arabic" w:hint="cs"/>
                <w:b/>
                <w:bCs/>
                <w:sz w:val="22"/>
                <w:szCs w:val="22"/>
                <w:highlight w:val="yellow"/>
                <w:rtl/>
                <w:lang w:bidi="ar-DZ"/>
              </w:rPr>
              <w:t xml:space="preserve"> </w:t>
            </w:r>
            <w:r w:rsidR="00112057">
              <w:rPr>
                <w:rFonts w:cs="Simplified Arabic"/>
                <w:b/>
                <w:bCs/>
                <w:sz w:val="22"/>
                <w:szCs w:val="22"/>
                <w:highlight w:val="yellow"/>
                <w:lang w:bidi="ar-DZ"/>
              </w:rPr>
              <w:t xml:space="preserve">  </w:t>
            </w:r>
            <w:r w:rsidR="000830A9" w:rsidRPr="000830A9">
              <w:rPr>
                <w:rFonts w:cs="Simplified Arabic"/>
                <w:b/>
                <w:bCs/>
                <w:sz w:val="22"/>
                <w:szCs w:val="22"/>
                <w:highlight w:val="yellow"/>
                <w:lang w:val="fr-FR" w:bidi="ar-DZ"/>
              </w:rPr>
              <w:t>stress biotique</w:t>
            </w:r>
            <w:r w:rsidR="004C0E2F" w:rsidRPr="004C0E2F"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</w:p>
          <w:p w:rsidR="00B7175C" w:rsidRPr="00B7175C" w:rsidRDefault="00B7175C" w:rsidP="00B7175C">
            <w:pPr>
              <w:autoSpaceDE w:val="0"/>
              <w:autoSpaceDN w:val="0"/>
              <w:bidi/>
              <w:adjustRightInd w:val="0"/>
              <w:rPr>
                <w:rFonts w:ascii="MyriadMM-It_400_600_" w:hAnsi="MyriadMM-It_400_600_" w:cs="Simplified Arabic"/>
                <w:sz w:val="22"/>
                <w:szCs w:val="22"/>
                <w:rtl/>
                <w:lang w:bidi="ar-DZ"/>
              </w:rPr>
            </w:pPr>
            <w:r w:rsidRPr="00FB4F89">
              <w:rPr>
                <w:rFonts w:ascii="MyriadMM-It_400_600_" w:hAnsi="MyriadMM-It_400_600_" w:cs="Simplified Arabic"/>
                <w:b/>
                <w:bCs/>
                <w:sz w:val="22"/>
                <w:szCs w:val="22"/>
                <w:rtl/>
              </w:rPr>
              <w:t>1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Pr="000830A9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مواد</w:t>
            </w:r>
            <w:r w:rsidRPr="000830A9">
              <w:rPr>
                <w:rFonts w:ascii="MyriadMM-It_400_600_" w:hAnsi="MyriadMM-It_400_600_" w:cs="Simplified Arabic"/>
                <w:sz w:val="22"/>
                <w:szCs w:val="22"/>
                <w:highlight w:val="yellow"/>
                <w:rtl/>
              </w:rPr>
              <w:t xml:space="preserve"> </w:t>
            </w:r>
            <w:proofErr w:type="spellStart"/>
            <w:r w:rsidRPr="000830A9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الأيض</w:t>
            </w:r>
            <w:proofErr w:type="spellEnd"/>
            <w:r w:rsidRPr="000830A9">
              <w:rPr>
                <w:rFonts w:ascii="MyriadMM-It_400_600_" w:hAnsi="MyriadMM-It_400_600_" w:cs="Simplified Arabic"/>
                <w:sz w:val="22"/>
                <w:szCs w:val="22"/>
                <w:highlight w:val="yellow"/>
                <w:rtl/>
              </w:rPr>
              <w:t xml:space="preserve"> </w:t>
            </w:r>
            <w:r w:rsidRPr="000830A9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الثانوي</w:t>
            </w:r>
            <w:r w:rsidRPr="000830A9">
              <w:rPr>
                <w:rFonts w:ascii="MyriadMM-It_400_600_" w:hAnsi="MyriadMM-It_400_600_" w:cs="Simplified Arabic"/>
                <w:sz w:val="22"/>
                <w:szCs w:val="22"/>
                <w:highlight w:val="yellow"/>
                <w:rtl/>
              </w:rPr>
              <w:t xml:space="preserve"> </w:t>
            </w:r>
            <w:r w:rsidRPr="000830A9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و</w:t>
            </w:r>
            <w:r w:rsidRPr="000830A9">
              <w:rPr>
                <w:rFonts w:ascii="MyriadMM-It_400_600_" w:hAnsi="MyriadMM-It_400_600_" w:cs="Simplified Arabic"/>
                <w:sz w:val="22"/>
                <w:szCs w:val="22"/>
                <w:highlight w:val="yellow"/>
                <w:rtl/>
              </w:rPr>
              <w:t xml:space="preserve"> </w:t>
            </w:r>
            <w:r w:rsidRPr="000830A9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دفاع</w:t>
            </w:r>
            <w:r w:rsidRPr="000830A9">
              <w:rPr>
                <w:rFonts w:ascii="MyriadMM-It_400_600_" w:hAnsi="MyriadMM-It_400_600_" w:cs="Simplified Arabic"/>
                <w:sz w:val="22"/>
                <w:szCs w:val="22"/>
                <w:highlight w:val="yellow"/>
                <w:rtl/>
              </w:rPr>
              <w:t xml:space="preserve"> </w:t>
            </w:r>
            <w:r w:rsidRPr="000830A9">
              <w:rPr>
                <w:rFonts w:ascii="MyriadMM-It_400_600_" w:hAnsi="MyriadMM-It_400_600_" w:cs="Simplified Arabic" w:hint="eastAsia"/>
                <w:sz w:val="22"/>
                <w:szCs w:val="22"/>
                <w:highlight w:val="yellow"/>
                <w:rtl/>
              </w:rPr>
              <w:t>النبات</w:t>
            </w:r>
            <w:r w:rsidR="005F281C">
              <w:rPr>
                <w:rFonts w:ascii="MyriadMM-It_400_600_" w:hAnsi="MyriadMM-It_400_600_" w:cs="Simplified Arabic"/>
                <w:sz w:val="22"/>
                <w:szCs w:val="22"/>
              </w:rPr>
              <w:t xml:space="preserve">  </w:t>
            </w:r>
            <w:proofErr w:type="spellStart"/>
            <w:r w:rsidR="005F281C">
              <w:rPr>
                <w:rFonts w:ascii="MyriadMM-It_400_600_" w:hAnsi="MyriadMM-It_400_600_" w:cs="Simplified Arabic"/>
                <w:sz w:val="22"/>
                <w:szCs w:val="22"/>
                <w:lang w:val="fr-FR"/>
              </w:rPr>
              <w:t>Metabolites</w:t>
            </w:r>
            <w:proofErr w:type="spellEnd"/>
            <w:r w:rsidR="005F281C">
              <w:rPr>
                <w:rFonts w:ascii="MyriadMM-It_400_600_" w:hAnsi="MyriadMM-It_400_600_" w:cs="Simplified Arabic"/>
                <w:sz w:val="22"/>
                <w:szCs w:val="22"/>
                <w:lang w:val="fr-FR"/>
              </w:rPr>
              <w:t xml:space="preserve"> secondaires et la </w:t>
            </w:r>
            <w:proofErr w:type="spellStart"/>
            <w:r w:rsidR="005F281C">
              <w:rPr>
                <w:rFonts w:ascii="MyriadMM-It_400_600_" w:hAnsi="MyriadMM-It_400_600_" w:cs="Simplified Arabic"/>
                <w:sz w:val="22"/>
                <w:szCs w:val="22"/>
                <w:lang w:val="fr-FR"/>
              </w:rPr>
              <w:t>defence</w:t>
            </w:r>
            <w:proofErr w:type="spellEnd"/>
            <w:r w:rsidR="005F281C">
              <w:rPr>
                <w:rFonts w:ascii="MyriadMM-It_400_600_" w:hAnsi="MyriadMM-It_400_600_" w:cs="Simplified Arabic"/>
                <w:sz w:val="22"/>
                <w:szCs w:val="22"/>
                <w:lang w:val="fr-FR"/>
              </w:rPr>
              <w:t xml:space="preserve"> de la plante</w:t>
            </w:r>
            <w:r w:rsidR="005F281C">
              <w:rPr>
                <w:rFonts w:ascii="MyriadMM-It_400_600_" w:hAnsi="MyriadMM-It_400_600_" w:cs="Simplified Arabic"/>
                <w:sz w:val="22"/>
                <w:szCs w:val="22"/>
              </w:rPr>
              <w:t xml:space="preserve"> </w:t>
            </w:r>
            <w:r w:rsidR="005F281C">
              <w:rPr>
                <w:rFonts w:ascii="MyriadMM-It_400_600_" w:hAnsi="MyriadMM-It_400_600_" w:cs="Simplified Arabic"/>
                <w:sz w:val="22"/>
                <w:szCs w:val="22"/>
                <w:rtl/>
                <w:lang w:bidi="ar-DZ"/>
              </w:rPr>
              <w:t xml:space="preserve"> </w:t>
            </w:r>
          </w:p>
          <w:p w:rsidR="001415E2" w:rsidRPr="001415E2" w:rsidRDefault="001415E2" w:rsidP="001415E2">
            <w:pPr>
              <w:autoSpaceDE w:val="0"/>
              <w:autoSpaceDN w:val="0"/>
              <w:bidi/>
              <w:adjustRightInd w:val="0"/>
              <w:rPr>
                <w:rFonts w:ascii="MyriadMM-It_400_600_" w:hAnsi="MyriadMM-It_400_600_" w:cs="Simplified Arabic"/>
                <w:sz w:val="22"/>
                <w:szCs w:val="22"/>
                <w:rtl/>
              </w:rPr>
            </w:pP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أ</w:t>
            </w:r>
            <w:r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ـ</w:t>
            </w:r>
            <w:r w:rsidRPr="001415E2"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proofErr w:type="gramStart"/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التربينات</w:t>
            </w:r>
            <w:proofErr w:type="gramEnd"/>
          </w:p>
          <w:p w:rsidR="001415E2" w:rsidRPr="001415E2" w:rsidRDefault="001415E2" w:rsidP="001415E2">
            <w:pPr>
              <w:autoSpaceDE w:val="0"/>
              <w:autoSpaceDN w:val="0"/>
              <w:bidi/>
              <w:adjustRightInd w:val="0"/>
              <w:rPr>
                <w:rFonts w:ascii="MyriadMM-It_400_600_" w:hAnsi="MyriadMM-It_400_600_" w:cs="Simplified Arabic"/>
                <w:sz w:val="22"/>
                <w:szCs w:val="22"/>
                <w:rtl/>
              </w:rPr>
            </w:pP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ب</w:t>
            </w:r>
            <w:r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ـ</w:t>
            </w:r>
            <w:r w:rsidRPr="001415E2"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المركبات</w:t>
            </w:r>
            <w:r w:rsidRPr="001415E2"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proofErr w:type="spellStart"/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الفينولية</w:t>
            </w:r>
            <w:proofErr w:type="spellEnd"/>
          </w:p>
          <w:p w:rsidR="001415E2" w:rsidRDefault="001415E2" w:rsidP="001415E2">
            <w:pPr>
              <w:autoSpaceDE w:val="0"/>
              <w:autoSpaceDN w:val="0"/>
              <w:bidi/>
              <w:adjustRightInd w:val="0"/>
              <w:rPr>
                <w:rFonts w:ascii="MyriadMM-It_400_600_" w:hAnsi="MyriadMM-It_400_600_" w:cs="Simplified Arabic"/>
                <w:sz w:val="22"/>
                <w:szCs w:val="22"/>
                <w:rtl/>
              </w:rPr>
            </w:pPr>
            <w:r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ج</w:t>
            </w:r>
            <w:r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ـ</w:t>
            </w:r>
            <w:r w:rsidRPr="001415E2"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المركبات</w:t>
            </w:r>
            <w:r w:rsidRPr="001415E2">
              <w:rPr>
                <w:rFonts w:ascii="MyriadMM-It_400_600_" w:hAnsi="MyriadMM-It_400_600_" w:cs="Simplified Arabic"/>
                <w:sz w:val="22"/>
                <w:szCs w:val="22"/>
                <w:rtl/>
              </w:rPr>
              <w:t xml:space="preserve"> </w:t>
            </w:r>
            <w:proofErr w:type="spellStart"/>
            <w:r w:rsidRPr="001415E2">
              <w:rPr>
                <w:rFonts w:ascii="MyriadMM-It_400_600_" w:hAnsi="MyriadMM-It_400_600_" w:cs="Simplified Arabic" w:hint="eastAsia"/>
                <w:sz w:val="22"/>
                <w:szCs w:val="22"/>
                <w:rtl/>
              </w:rPr>
              <w:t>الآزوتية</w:t>
            </w:r>
            <w:proofErr w:type="spellEnd"/>
          </w:p>
          <w:p w:rsidR="00B7175C" w:rsidRPr="005F281C" w:rsidRDefault="00B7175C" w:rsidP="00B7175C">
            <w:pPr>
              <w:bidi/>
              <w:jc w:val="both"/>
              <w:rPr>
                <w:rFonts w:cs="Simplified Arabic"/>
                <w:b/>
                <w:bCs/>
                <w:sz w:val="22"/>
                <w:szCs w:val="22"/>
                <w:lang w:val="fr-FR" w:bidi="ar-DZ"/>
              </w:rPr>
            </w:pPr>
            <w:r w:rsidRPr="00FB4F89">
              <w:rPr>
                <w:rFonts w:cs="Simplified Arabic"/>
                <w:sz w:val="22"/>
                <w:szCs w:val="22"/>
                <w:rtl/>
                <w:lang w:bidi="ar-DZ"/>
              </w:rPr>
              <w:t>2</w:t>
            </w: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-</w:t>
            </w: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Pr="000830A9">
              <w:rPr>
                <w:rFonts w:cs="Simplified Arabic"/>
                <w:sz w:val="22"/>
                <w:szCs w:val="22"/>
                <w:highlight w:val="yellow"/>
                <w:rtl/>
                <w:lang w:bidi="ar-DZ"/>
              </w:rPr>
              <w:t>التفاعلات</w:t>
            </w:r>
            <w:proofErr w:type="gramEnd"/>
            <w:r w:rsidRPr="000830A9">
              <w:rPr>
                <w:rFonts w:cs="Simplified Arabic"/>
                <w:sz w:val="22"/>
                <w:szCs w:val="22"/>
                <w:highlight w:val="yellow"/>
                <w:rtl/>
                <w:lang w:bidi="ar-DZ"/>
              </w:rPr>
              <w:t xml:space="preserve"> المتداخلة الكائنات الدقيقة- النبات</w:t>
            </w:r>
            <w:r w:rsidR="005F281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val="fr-FR" w:bidi="ar-DZ"/>
              </w:rPr>
              <w:t>Interactions plante microorganisme</w:t>
            </w:r>
          </w:p>
          <w:p w:rsidR="00EC2AF6" w:rsidRPr="005F281C" w:rsidRDefault="009629EE" w:rsidP="00EC2AF6">
            <w:pPr>
              <w:bidi/>
              <w:jc w:val="both"/>
              <w:rPr>
                <w:rFonts w:cs="Simplified Arabic"/>
                <w:sz w:val="22"/>
                <w:szCs w:val="22"/>
                <w:lang w:val="fr-FR" w:bidi="ar-DZ"/>
              </w:rPr>
            </w:pP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</w:t>
            </w:r>
            <w:r w:rsidR="00EC2AF6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</w:t>
            </w:r>
            <w:proofErr w:type="gramStart"/>
            <w:r w:rsidR="00EC2AF6">
              <w:rPr>
                <w:rFonts w:cs="Simplified Arabic"/>
                <w:sz w:val="22"/>
                <w:szCs w:val="22"/>
                <w:rtl/>
                <w:lang w:bidi="ar-DZ"/>
              </w:rPr>
              <w:t>إدراك</w:t>
            </w:r>
            <w:proofErr w:type="gramEnd"/>
            <w:r w:rsidR="00EC2AF6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الإشارات المرضية</w:t>
            </w:r>
            <w:r w:rsidR="005F281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lang w:val="fr-FR" w:bidi="ar-DZ"/>
              </w:rPr>
              <w:t>Perception</w:t>
            </w:r>
          </w:p>
          <w:p w:rsidR="00EC2AF6" w:rsidRDefault="0056493F" w:rsidP="00EC2AF6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</w:t>
            </w:r>
            <w:proofErr w:type="gramStart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>ترجمة</w:t>
            </w:r>
            <w:proofErr w:type="gramEnd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الإشارات المرضية </w:t>
            </w:r>
            <w:proofErr w:type="spellStart"/>
            <w:r w:rsidR="005F281C">
              <w:rPr>
                <w:rFonts w:cs="Simplified Arabic"/>
                <w:sz w:val="22"/>
                <w:szCs w:val="22"/>
                <w:lang w:bidi="ar-DZ"/>
              </w:rPr>
              <w:t>Signalisation</w:t>
            </w:r>
            <w:proofErr w:type="spellEnd"/>
          </w:p>
          <w:p w:rsidR="0056493F" w:rsidRDefault="009629EE" w:rsidP="003F2A74">
            <w:pPr>
              <w:bidi/>
              <w:jc w:val="both"/>
              <w:rPr>
                <w:rFonts w:cs="Simplified Arabic"/>
                <w:sz w:val="22"/>
                <w:szCs w:val="22"/>
                <w:rtl/>
                <w:lang w:bidi="ar-DZ"/>
              </w:rPr>
            </w:pPr>
            <w:r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EC2AF6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تفاعلات </w:t>
            </w:r>
            <w:r w:rsidR="0056493F" w:rsidRPr="0056493F">
              <w:rPr>
                <w:rFonts w:cs="Simplified Arabic"/>
                <w:sz w:val="22"/>
                <w:szCs w:val="22"/>
                <w:rtl/>
                <w:lang w:bidi="ar-DZ"/>
              </w:rPr>
              <w:t>الاستجابة</w:t>
            </w:r>
            <w:r w:rsidR="004B120B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و الدفاع</w:t>
            </w:r>
            <w:r w:rsidR="003F2A74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r w:rsidR="003F2A74">
              <w:rPr>
                <w:rFonts w:cs="Simplified Arabic"/>
                <w:sz w:val="22"/>
                <w:szCs w:val="22"/>
                <w:rtl/>
                <w:lang w:bidi="ar-DZ"/>
              </w:rPr>
              <w:t>ـ</w:t>
            </w:r>
            <w:r w:rsidR="003F2A74"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3F2A74" w:rsidRPr="0056493F">
              <w:rPr>
                <w:rFonts w:cs="Simplified Arabic"/>
                <w:sz w:val="22"/>
                <w:szCs w:val="22"/>
                <w:rtl/>
                <w:lang w:bidi="ar-DZ"/>
              </w:rPr>
              <w:t>الفيتو</w:t>
            </w:r>
            <w:r w:rsidR="003F2A74">
              <w:rPr>
                <w:rFonts w:cs="Simplified Arabic"/>
                <w:sz w:val="22"/>
                <w:szCs w:val="22"/>
                <w:rtl/>
                <w:lang w:bidi="ar-DZ"/>
              </w:rPr>
              <w:t>أ</w:t>
            </w:r>
            <w:r w:rsidR="003F2A74" w:rsidRPr="0056493F">
              <w:rPr>
                <w:rFonts w:cs="Simplified Arabic"/>
                <w:sz w:val="22"/>
                <w:szCs w:val="22"/>
                <w:rtl/>
                <w:lang w:bidi="ar-DZ"/>
              </w:rPr>
              <w:t>لكسينات</w:t>
            </w:r>
            <w:proofErr w:type="spellEnd"/>
            <w:r w:rsidR="00C4178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C41787">
              <w:rPr>
                <w:rFonts w:cs="Simplified Arabic"/>
                <w:sz w:val="22"/>
                <w:szCs w:val="22"/>
                <w:rtl/>
                <w:lang w:bidi="ar-DZ"/>
              </w:rPr>
              <w:t>الهرمونات</w:t>
            </w:r>
            <w:proofErr w:type="spellEnd"/>
            <w:r w:rsidR="00C41787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النباتية</w:t>
            </w:r>
            <w:r w:rsidR="005F281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5F281C">
              <w:rPr>
                <w:rFonts w:cs="Simplified Arabic"/>
                <w:sz w:val="22"/>
                <w:szCs w:val="22"/>
                <w:lang w:bidi="ar-DZ"/>
              </w:rPr>
              <w:t>Reponse</w:t>
            </w:r>
            <w:proofErr w:type="spellEnd"/>
            <w:r w:rsidR="005F281C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</w:p>
          <w:p w:rsidR="004B120B" w:rsidRPr="005F281C" w:rsidRDefault="004B120B" w:rsidP="004B120B">
            <w:pPr>
              <w:bidi/>
              <w:jc w:val="both"/>
              <w:rPr>
                <w:rFonts w:cs="Simplified Arabic"/>
                <w:sz w:val="22"/>
                <w:szCs w:val="22"/>
                <w:lang w:val="fr-FR" w:bidi="ar-DZ"/>
              </w:rPr>
            </w:pPr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   المقاومة</w:t>
            </w:r>
            <w:r w:rsidR="00970DC6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</w:t>
            </w:r>
            <w:proofErr w:type="spellStart"/>
            <w:r w:rsidR="00970DC6">
              <w:rPr>
                <w:rFonts w:cs="Simplified Arabic"/>
                <w:sz w:val="22"/>
                <w:szCs w:val="22"/>
                <w:rtl/>
                <w:lang w:bidi="ar-DZ"/>
              </w:rPr>
              <w:t>الجهازية</w:t>
            </w:r>
            <w:proofErr w:type="spellEnd"/>
            <w:r w:rsidRPr="0056493F">
              <w:rPr>
                <w:rFonts w:cs="Simplified Arabic"/>
                <w:sz w:val="22"/>
                <w:szCs w:val="22"/>
                <w:rtl/>
                <w:lang w:bidi="ar-DZ"/>
              </w:rPr>
              <w:t xml:space="preserve"> المكتسبة</w:t>
            </w:r>
            <w:r w:rsidR="005F281C">
              <w:rPr>
                <w:rFonts w:cs="Simplified Arabic"/>
                <w:sz w:val="22"/>
                <w:szCs w:val="22"/>
                <w:lang w:val="fr-FR" w:bidi="ar-DZ"/>
              </w:rPr>
              <w:t xml:space="preserve"> </w:t>
            </w:r>
            <w:r w:rsidR="005F281C">
              <w:rPr>
                <w:rFonts w:cs="Simplified Arabic"/>
                <w:sz w:val="22"/>
                <w:szCs w:val="22"/>
                <w:rtl/>
                <w:lang w:val="fr-FR" w:bidi="ar-DZ"/>
              </w:rPr>
              <w:t xml:space="preserve"> </w:t>
            </w:r>
            <w:r w:rsidR="00970DC6">
              <w:rPr>
                <w:rFonts w:cs="Simplified Arabic"/>
                <w:sz w:val="22"/>
                <w:szCs w:val="22"/>
                <w:lang w:val="fr-FR" w:bidi="ar-DZ"/>
              </w:rPr>
              <w:t xml:space="preserve">Resistance </w:t>
            </w:r>
            <w:proofErr w:type="spellStart"/>
            <w:r w:rsidR="00970DC6">
              <w:rPr>
                <w:rFonts w:cs="Simplified Arabic"/>
                <w:sz w:val="22"/>
                <w:szCs w:val="22"/>
                <w:lang w:val="fr-FR" w:bidi="ar-DZ"/>
              </w:rPr>
              <w:t>systemique</w:t>
            </w:r>
            <w:proofErr w:type="spellEnd"/>
            <w:r w:rsidR="00970DC6">
              <w:rPr>
                <w:rFonts w:cs="Simplified Arabic"/>
                <w:sz w:val="22"/>
                <w:szCs w:val="22"/>
                <w:lang w:val="fr-FR" w:bidi="ar-DZ"/>
              </w:rPr>
              <w:t xml:space="preserve"> acquise</w:t>
            </w:r>
          </w:p>
          <w:p w:rsidR="00EC2AF6" w:rsidRDefault="00EC2AF6" w:rsidP="003F2A74">
            <w:pPr>
              <w:bidi/>
              <w:jc w:val="both"/>
              <w:rPr>
                <w:rFonts w:cs="Simplified Arabic"/>
                <w:b/>
                <w:bCs/>
                <w:lang w:bidi="ar-DZ"/>
              </w:rPr>
            </w:pPr>
          </w:p>
        </w:tc>
      </w:tr>
    </w:tbl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lang w:bidi="ar-DZ"/>
        </w:rPr>
      </w:pPr>
    </w:p>
    <w:p w:rsidR="0056493F" w:rsidRPr="0056493F" w:rsidRDefault="0056493F" w:rsidP="0056493F">
      <w:pPr>
        <w:bidi/>
        <w:jc w:val="both"/>
        <w:rPr>
          <w:rFonts w:cs="Simplified Arabic"/>
          <w:b/>
          <w:bCs/>
          <w:sz w:val="4"/>
          <w:szCs w:val="4"/>
          <w:rtl/>
          <w:lang w:bidi="ar-DZ"/>
        </w:rPr>
      </w:pPr>
    </w:p>
    <w:sectPr w:rsidR="0056493F" w:rsidRPr="0056493F" w:rsidSect="0056493F">
      <w:pgSz w:w="11906" w:h="16838" w:code="9"/>
      <w:pgMar w:top="1134" w:right="1797" w:bottom="1134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MyriadMM-It_400_600_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72"/>
  <w:displayHorizontalDrawingGridEvery w:val="2"/>
  <w:displayVerticalDrawingGridEvery w:val="2"/>
  <w:characterSpacingControl w:val="doNotCompress"/>
  <w:doNotValidateAgainstSchema/>
  <w:doNotDemarcateInvalidXml/>
  <w:compat/>
  <w:rsids>
    <w:rsidRoot w:val="00AF0965"/>
    <w:rsid w:val="000830A9"/>
    <w:rsid w:val="000F2150"/>
    <w:rsid w:val="00112057"/>
    <w:rsid w:val="00136980"/>
    <w:rsid w:val="001415E2"/>
    <w:rsid w:val="0016389A"/>
    <w:rsid w:val="001807DC"/>
    <w:rsid w:val="002329BC"/>
    <w:rsid w:val="00235E8B"/>
    <w:rsid w:val="00301ACB"/>
    <w:rsid w:val="00326A91"/>
    <w:rsid w:val="00390615"/>
    <w:rsid w:val="00396EBD"/>
    <w:rsid w:val="003F2A74"/>
    <w:rsid w:val="004056F1"/>
    <w:rsid w:val="00464A8C"/>
    <w:rsid w:val="004B120B"/>
    <w:rsid w:val="004C0E2F"/>
    <w:rsid w:val="004D6EDF"/>
    <w:rsid w:val="004F1F13"/>
    <w:rsid w:val="0056026B"/>
    <w:rsid w:val="0056493F"/>
    <w:rsid w:val="00591141"/>
    <w:rsid w:val="005A6CEF"/>
    <w:rsid w:val="005F281C"/>
    <w:rsid w:val="006A58CE"/>
    <w:rsid w:val="006E56C8"/>
    <w:rsid w:val="007119E4"/>
    <w:rsid w:val="007C0BF7"/>
    <w:rsid w:val="008B2100"/>
    <w:rsid w:val="009629EE"/>
    <w:rsid w:val="00970DC6"/>
    <w:rsid w:val="009974BE"/>
    <w:rsid w:val="009F3562"/>
    <w:rsid w:val="00AF0965"/>
    <w:rsid w:val="00B7175C"/>
    <w:rsid w:val="00B743C8"/>
    <w:rsid w:val="00BC4B18"/>
    <w:rsid w:val="00BC625C"/>
    <w:rsid w:val="00C16F46"/>
    <w:rsid w:val="00C35CF5"/>
    <w:rsid w:val="00C41787"/>
    <w:rsid w:val="00C5620F"/>
    <w:rsid w:val="00C9589D"/>
    <w:rsid w:val="00CA7E5D"/>
    <w:rsid w:val="00CD55BD"/>
    <w:rsid w:val="00D06ECA"/>
    <w:rsid w:val="00D36C37"/>
    <w:rsid w:val="00E87B36"/>
    <w:rsid w:val="00EA5B3D"/>
    <w:rsid w:val="00EC2AF6"/>
    <w:rsid w:val="00ED7C84"/>
    <w:rsid w:val="00F22DD5"/>
    <w:rsid w:val="00F82F56"/>
    <w:rsid w:val="00FA5B49"/>
    <w:rsid w:val="00FB0DC9"/>
    <w:rsid w:val="00FB4F89"/>
    <w:rsid w:val="00FB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BE"/>
    <w:pPr>
      <w:spacing w:after="0" w:line="240" w:lineRule="auto"/>
    </w:pPr>
    <w:rPr>
      <w:rFonts w:cs="Traditional Arabic"/>
      <w:sz w:val="20"/>
      <w:szCs w:val="20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997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9974BE"/>
    <w:pPr>
      <w:keepNext/>
      <w:shd w:val="pct20" w:color="auto" w:fill="auto"/>
      <w:snapToGrid w:val="0"/>
      <w:outlineLvl w:val="3"/>
    </w:pPr>
    <w:rPr>
      <w:b/>
      <w:bCs/>
      <w:sz w:val="16"/>
      <w:lang w:eastAsia="ar-SA"/>
    </w:rPr>
  </w:style>
  <w:style w:type="paragraph" w:styleId="Titre5">
    <w:name w:val="heading 5"/>
    <w:basedOn w:val="Normal"/>
    <w:next w:val="Normal"/>
    <w:link w:val="Titre5Car"/>
    <w:uiPriority w:val="99"/>
    <w:qFormat/>
    <w:rsid w:val="009974B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Arial"/>
      <w:b/>
      <w:bCs/>
      <w:i/>
      <w:iCs/>
      <w:sz w:val="26"/>
      <w:szCs w:val="26"/>
    </w:rPr>
  </w:style>
  <w:style w:type="table" w:styleId="Grilledutableau">
    <w:name w:val="Table Grid"/>
    <w:basedOn w:val="TableauNormal"/>
    <w:uiPriority w:val="99"/>
    <w:rsid w:val="00CD55BD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إجـازة تـدريـس الـعلـوم العـطـبـيـعـيـة                                             الـبـرامـج</vt:lpstr>
    </vt:vector>
  </TitlesOfParts>
  <Company>ens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إجـازة تـدريـس الـعلـوم العـطـبـيـعـيـة                                             الـبـرامـج</dc:title>
  <dc:creator>zaoui</dc:creator>
  <cp:lastModifiedBy>med</cp:lastModifiedBy>
  <cp:revision>2</cp:revision>
  <cp:lastPrinted>2003-01-08T11:45:00Z</cp:lastPrinted>
  <dcterms:created xsi:type="dcterms:W3CDTF">2023-10-21T08:47:00Z</dcterms:created>
  <dcterms:modified xsi:type="dcterms:W3CDTF">2023-10-21T08:47:00Z</dcterms:modified>
</cp:coreProperties>
</file>